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pPr>
      <w:r w:rsidDel="00000000" w:rsidR="00000000" w:rsidRPr="00000000">
        <w:rPr>
          <w:rtl w:val="0"/>
        </w:rPr>
        <w:t xml:space="preserve">Moderné bezhotovostné platby</w:t>
      </w:r>
    </w:p>
    <w:p w:rsidR="00000000" w:rsidDel="00000000" w:rsidP="00000000" w:rsidRDefault="00000000" w:rsidRPr="00000000" w14:paraId="00000002">
      <w:pPr>
        <w:ind w:left="720" w:hanging="360"/>
        <w:jc w:val="center"/>
        <w:rPr/>
      </w:pPr>
      <w:r w:rsidDel="00000000" w:rsidR="00000000" w:rsidRPr="00000000">
        <w:rPr>
          <w:rtl w:val="0"/>
        </w:rPr>
        <w:t xml:space="preserve">Alojz Stúpal, Jakub Šmahovský</w:t>
      </w:r>
    </w:p>
    <w:p w:rsidR="00000000" w:rsidDel="00000000" w:rsidP="00000000" w:rsidRDefault="00000000" w:rsidRPr="00000000" w14:paraId="00000003">
      <w:pPr>
        <w:ind w:left="720" w:hanging="360"/>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Naše banky prichádzajú s rôznymi inováciami platobných systémov, ktoré majú za cieľ vzbudiť záujem klientov. Jednou z tried takýchto inovácií sú nové spôsoby platieb, ktoré zjednodušujú, alebo urýchľujú proces platby. Tieto inovácie sú jednoduché na pochopenie a široko aplikovateľné, vďaka čomu im venuje pozornosť široká verejnosť (napríklad v porovnaní s bezpečnostnými inováciami). V tomto projekte sme sa venovali verejnej mienke na 4 takéto platobné spôsoby z nedávnych rokov – platby cez NFC, Pay by sqare, Payme a VIAMO. Okrem toho sme sa zaujímali aj o všeobecný názor verejnosti na budúcnosť hotovosti.</w:t>
      </w:r>
    </w:p>
    <w:p w:rsidR="00000000" w:rsidDel="00000000" w:rsidP="00000000" w:rsidRDefault="00000000" w:rsidRPr="00000000" w14:paraId="00000005">
      <w:pPr>
        <w:rPr/>
      </w:pPr>
      <w:r w:rsidDel="00000000" w:rsidR="00000000" w:rsidRPr="00000000">
        <w:rPr>
          <w:rtl w:val="0"/>
        </w:rPr>
        <w:t xml:space="preserve">Platby cez NFC sú platby mobilom alebo smart hodinkami cez NFC komunikáciu. Platby sa vykonávajú pomocou aplikácií ako napr. Google Pay, Apple Pay, Garmin Pay a FitBit Pay. Používateľ do aplikácie pridá údaje o svojej platobnej karte, a následne môže použiť smart zariadenie ako náhradu platobnej karty priložením k terminálu.</w:t>
      </w:r>
    </w:p>
    <w:p w:rsidR="00000000" w:rsidDel="00000000" w:rsidP="00000000" w:rsidRDefault="00000000" w:rsidRPr="00000000" w14:paraId="00000006">
      <w:pPr>
        <w:rPr/>
      </w:pPr>
      <w:r w:rsidDel="00000000" w:rsidR="00000000" w:rsidRPr="00000000">
        <w:rPr>
          <w:rtl w:val="0"/>
        </w:rPr>
        <w:t xml:space="preserve">Pay by sqare sa tiež zjednodušene nazývajú QR platby, platby QR-kódom. Aplikácia je pripojená na internet banking používateľa. Umožňuje oskenovať QR kód s platobným príkazom a namiesto používateľa vyplní formulár bankového prevodu. Formulár stačí následne už iba odsúhlasiť. Aplikácia taktiež umožňuje vytvoriť QR kód pre vlastný platobný príkaz.</w:t>
      </w:r>
    </w:p>
    <w:p w:rsidR="00000000" w:rsidDel="00000000" w:rsidP="00000000" w:rsidRDefault="00000000" w:rsidRPr="00000000" w14:paraId="00000007">
      <w:pPr>
        <w:rPr/>
      </w:pPr>
      <w:r w:rsidDel="00000000" w:rsidR="00000000" w:rsidRPr="00000000">
        <w:rPr>
          <w:rtl w:val="0"/>
        </w:rPr>
        <w:t xml:space="preserve">Payme platby sú veľmi podobné platbám Pay by square. Používajú rovnaké mobilné aplikácie a rovnako je namiesto používateľa vyplnený formulár prevodu. Informácie formuláru sú namiesto QR kódu získané z hypertextového odkazu v URI formáte. Tento spôsob platby je propagovaný ako „platby cez chat“, pretože chatovacie aplikácie umožňujú jednoducho zasielať odkazy a sú široko využívané. Ide o najnovší so skúmaných spôsobov platieb, jeho adaptácia nastala až začiatkom tohto roku.</w:t>
      </w:r>
    </w:p>
    <w:p w:rsidR="00000000" w:rsidDel="00000000" w:rsidP="00000000" w:rsidRDefault="00000000" w:rsidRPr="00000000" w14:paraId="00000008">
      <w:pPr>
        <w:rPr/>
      </w:pPr>
      <w:r w:rsidDel="00000000" w:rsidR="00000000" w:rsidRPr="00000000">
        <w:rPr>
          <w:rtl w:val="0"/>
        </w:rPr>
        <w:t xml:space="preserve">VIAMO platby sú staršie v porovnaní s Payme, dostupné sú približne 7 rokov. Ide o veľmi netradičný spôsob. Umožňuje zasielať a prijímať platby na telefónne číslo. Platby sa vykonávajú pomocou aplikácie, ktorá preväzuje bankový účet s telefónnym číslom používateľa.</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rFonts w:ascii="Calibri" w:cs="Calibri" w:eastAsia="Calibri" w:hAnsi="Calibri"/>
          <w:color w:val="2f5496"/>
          <w:sz w:val="32"/>
          <w:szCs w:val="32"/>
        </w:rPr>
      </w:pPr>
      <w:r w:rsidDel="00000000" w:rsidR="00000000" w:rsidRPr="00000000">
        <w:rPr>
          <w:rFonts w:ascii="Calibri" w:cs="Calibri" w:eastAsia="Calibri" w:hAnsi="Calibri"/>
          <w:color w:val="2f5496"/>
          <w:sz w:val="32"/>
          <w:szCs w:val="32"/>
          <w:rtl w:val="0"/>
        </w:rPr>
        <w:t xml:space="preserve">Všeobecné informácie o respondentoch</w:t>
      </w:r>
    </w:p>
    <w:p w:rsidR="00000000" w:rsidDel="00000000" w:rsidP="00000000" w:rsidRDefault="00000000" w:rsidRPr="00000000" w14:paraId="0000000B">
      <w:pPr>
        <w:rPr/>
      </w:pPr>
      <w:r w:rsidDel="00000000" w:rsidR="00000000" w:rsidRPr="00000000">
        <w:rPr>
          <w:rtl w:val="0"/>
        </w:rPr>
        <w:t xml:space="preserve">Náš dotazník vyplnilo 101 respondentov. Respondenti boli predovšetkým mladšieho veku – najviac odpovedí sme dostali od ľudí vo veku 21 až 27 rokov, avšak pomer študentov a pracujúcich bol vyrovnaný. Veľká časť respondentov (42%) má technické zameranie v zamestnaní, alebo štúdiu, avšak mali sme aj značnú časť respondentov so spoločenským (29%), alebo prírodovedeckým (17%) zameraním.</w:t>
      </w:r>
    </w:p>
    <w:p w:rsidR="00000000" w:rsidDel="00000000" w:rsidP="00000000" w:rsidRDefault="00000000" w:rsidRPr="00000000" w14:paraId="0000000C">
      <w:pPr>
        <w:rPr/>
      </w:pPr>
      <w:r w:rsidDel="00000000" w:rsidR="00000000" w:rsidRPr="00000000">
        <w:rPr>
          <w:rtl w:val="0"/>
        </w:rPr>
        <w:t xml:space="preserve">Na otázku, akú formu platieb respondenti využívajú najčastejšie, sme získali prevažne odpovede „kartou – bezkontaktne“ (50%), ale tiež odpovede „kartou – NFC“ (25%). Zistili sme tak, že ľudia, ak to nie je nevyhnutné, hotovosť nepoužívajú – len 5% respondentov uviedlo hotovosť ako preferovaný spôsob platby. Nasledujúca otázka „Akú časť platieb vykonávate bezhotovostne“ odráža predošlé výsledky, a teda väčšina odpovedajúcich (68%) využíva bezhotovostné platby takmer vždy.</w:t>
      </w:r>
    </w:p>
    <w:p w:rsidR="00000000" w:rsidDel="00000000" w:rsidP="00000000" w:rsidRDefault="00000000" w:rsidRPr="00000000" w14:paraId="0000000D">
      <w:pPr>
        <w:rPr/>
      </w:pPr>
      <w:r w:rsidDel="00000000" w:rsidR="00000000" w:rsidRPr="00000000">
        <w:rPr>
          <w:rtl w:val="0"/>
        </w:rPr>
        <w:t xml:space="preserve">Zistili sme, že ľudí odrádza od bezhotovostných platieb najmä nemožnosť takejto platby v mnohých obchodoch či podnikoch. Usudzujeme, že využívanie bezhotovostných spôsobov platby by naďalej stúpalo, pokiaľ by mali vyššiu podporu zo strany predajcov. Respondenti tiež často uvádzali možnosť, že pri bezhotovostných platbách zvyknú míňať viac, keďže si často neuvedomujú, koľko už nakúpili (30%). Možno by existoval záujem o nejakú formu varovaní na množstvo minutých peňazí, zakomponovanú do bankových aplikácií.</w:t>
      </w:r>
    </w:p>
    <w:p w:rsidR="00000000" w:rsidDel="00000000" w:rsidP="00000000" w:rsidRDefault="00000000" w:rsidRPr="00000000" w14:paraId="0000000E">
      <w:pPr>
        <w:rPr>
          <w:rFonts w:ascii="Calibri" w:cs="Calibri" w:eastAsia="Calibri" w:hAnsi="Calibri"/>
          <w:color w:val="2f5496"/>
          <w:sz w:val="32"/>
          <w:szCs w:val="32"/>
        </w:rPr>
      </w:pPr>
      <w:r w:rsidDel="00000000" w:rsidR="00000000" w:rsidRPr="00000000">
        <w:rPr>
          <w:rFonts w:ascii="Calibri" w:cs="Calibri" w:eastAsia="Calibri" w:hAnsi="Calibri"/>
          <w:color w:val="2f5496"/>
          <w:sz w:val="32"/>
          <w:szCs w:val="32"/>
          <w:rtl w:val="0"/>
        </w:rPr>
        <w:t xml:space="preserve">Otázky na konkrétne typy platieb</w:t>
      </w:r>
    </w:p>
    <w:p w:rsidR="00000000" w:rsidDel="00000000" w:rsidP="00000000" w:rsidRDefault="00000000" w:rsidRPr="00000000" w14:paraId="0000000F">
      <w:pPr>
        <w:rPr/>
      </w:pPr>
      <w:r w:rsidDel="00000000" w:rsidR="00000000" w:rsidRPr="00000000">
        <w:rPr>
          <w:rtl w:val="0"/>
        </w:rPr>
        <w:t xml:space="preserve">Väčšina respondentov (90%) uviedla, že NFC platby im sú známe, čo svedčí o popularite tejto platby. Taktiež až skoro 36% ľudí odpovedalo, že tento spôsob platby využíva pravidelne a 13% ho využíva zriedkavo.</w:t>
      </w:r>
    </w:p>
    <w:p w:rsidR="00000000" w:rsidDel="00000000" w:rsidP="00000000" w:rsidRDefault="00000000" w:rsidRPr="00000000" w14:paraId="00000010">
      <w:pPr>
        <w:rPr/>
      </w:pPr>
      <w:r w:rsidDel="00000000" w:rsidR="00000000" w:rsidRPr="00000000">
        <w:rPr>
          <w:rtl w:val="0"/>
        </w:rPr>
        <w:t xml:space="preserve">Platby QR – kódom (Pay by square) pozná tiež veľké množstvo respondentov (80%). Iba 15% respondentov tento spôsob platby využíva často ale až 27% ho využíva, i keď zriedkavo. Dôvodom pomerne vysokej popularity tohto spôsobu platieb môže byť flexibilnosť pri platení účtov (za energie, telefón, atď.). Veľa spoločností uvádza QR – kód na účtoch zasielaných poštou, čo zjednodušuje ich úhradu.</w:t>
      </w:r>
    </w:p>
    <w:p w:rsidR="00000000" w:rsidDel="00000000" w:rsidP="00000000" w:rsidRDefault="00000000" w:rsidRPr="00000000" w14:paraId="00000011">
      <w:pPr>
        <w:rPr/>
      </w:pPr>
      <w:r w:rsidDel="00000000" w:rsidR="00000000" w:rsidRPr="00000000">
        <w:rPr>
          <w:rtl w:val="0"/>
        </w:rPr>
        <w:t xml:space="preserve">Platby cez VIAMO ľudia tiež po väčšine poznajú (75%). Tento spôsob platby už je starší, avšak zdá sa, že sa neuchytil, o čom svedčia aj odpovede – len 20% respondentov ho využíva (aspoň zriedkavo), a až 33% by na tento spôsob platby nikdy nepristúpilo.</w:t>
      </w:r>
    </w:p>
    <w:p w:rsidR="00000000" w:rsidDel="00000000" w:rsidP="00000000" w:rsidRDefault="00000000" w:rsidRPr="00000000" w14:paraId="00000012">
      <w:pPr>
        <w:rPr/>
      </w:pPr>
      <w:r w:rsidDel="00000000" w:rsidR="00000000" w:rsidRPr="00000000">
        <w:rPr>
          <w:rtl w:val="0"/>
        </w:rPr>
        <w:t xml:space="preserve">Platby pomocou Payme sú najnovšie, preto je pochopiteľné, že len 21% respondentov tento typ platby poznalo. Z rovnakých dôvodov len 8% respondentov Payme používa. Po vysvetlení, ako tento spôsob platby funguje, až 54% respondentov uviedlo, že sú ochotní ho začať využívať v prípade potreby, ale až 32% respondentov by týmto spôsobom nikdy neplatilo. Zaskočilo nás, že len 7% opýtaných označilo možnosť, že tento spôsob platby nepoužíva, ale chceli by.</w:t>
      </w:r>
    </w:p>
    <w:p w:rsidR="00000000" w:rsidDel="00000000" w:rsidP="00000000" w:rsidRDefault="00000000" w:rsidRPr="00000000" w14:paraId="00000013">
      <w:pPr>
        <w:rPr/>
      </w:pPr>
      <w:r w:rsidDel="00000000" w:rsidR="00000000" w:rsidRPr="00000000">
        <w:rPr>
          <w:rtl w:val="0"/>
        </w:rPr>
        <w:t xml:space="preserve">Kľúčovou bola otázka, čo ľudí od týchto štyroch typov platieb odrádza. Pre platby NFC to bol prevažne strach z bezpečnosti (25%). Tento výsledok bol pre nás prekvapivý, nakoľko NFC platby neprinášajú pridané riziko v porovnaní s ich alternatívou – platobnými kartami. Navyše prispievajú k bezpečnosti vďaka ochranným prvkom podkladových zariadení (napr. potreba odtlačku prstu na odblokovanie mobilu). Pre platby QR – kódom ľudia uvádzali najviac ich nedostupnosť v obchodoch (27%). Zaujímavé tiež je, že odpoveď „nevlastním potrebné zariadenie“ pre technológie Payme, VIAMO a platby QR-kódmi mali rôzne výsledky (12%, 9% a 6%), napriek tomu, že potrebné zariadenia sú rovnaké.</w:t>
      </w:r>
    </w:p>
    <w:p w:rsidR="00000000" w:rsidDel="00000000" w:rsidP="00000000" w:rsidRDefault="00000000" w:rsidRPr="00000000" w14:paraId="00000014">
      <w:pPr>
        <w:rPr/>
      </w:pPr>
      <w:r w:rsidDel="00000000" w:rsidR="00000000" w:rsidRPr="00000000">
        <w:rPr>
          <w:rtl w:val="0"/>
        </w:rPr>
        <w:t xml:space="preserve">Pre každý spôsob platby sme sa pozreli i na odpovede tých respondentov, ktorí ju nie sú ochotní (alebo sú ochotní v prípade nutnosti) používať a zistili sme, čo ich od používania danej technológie demotivuje. Tieto údaje sme porovnali s celkovými dátami pre daný typ platby.</w:t>
      </w:r>
    </w:p>
    <w:p w:rsidR="00000000" w:rsidDel="00000000" w:rsidP="00000000" w:rsidRDefault="00000000" w:rsidRPr="00000000" w14:paraId="00000015">
      <w:pPr>
        <w:rPr/>
      </w:pPr>
      <w:r w:rsidDel="00000000" w:rsidR="00000000" w:rsidRPr="00000000">
        <w:rPr>
          <w:rtl w:val="0"/>
        </w:rPr>
        <w:t xml:space="preserve">Respondenti, ktorí neinklinovali k platbám pomocou NFC, prejavili ešte väčšiu nedôveru v bezpečnosť technológie (34% oproti predošlým 21%). Ako sme už skôr uviedli, takéto obavy považujeme za neopodstatnené. Taktiež sa u uvedenej vzorky zvýšilo percento pre odpoveď „Nevlastním zariadenie“ (z 13% na 20%).</w:t>
      </w:r>
    </w:p>
    <w:p w:rsidR="00000000" w:rsidDel="00000000" w:rsidP="00000000" w:rsidRDefault="00000000" w:rsidRPr="00000000" w14:paraId="00000016">
      <w:pPr>
        <w:rPr/>
      </w:pPr>
      <w:r w:rsidDel="00000000" w:rsidR="00000000" w:rsidRPr="00000000">
        <w:rPr>
          <w:rtl w:val="0"/>
        </w:rPr>
        <w:t xml:space="preserve">Pre respondentov neochotných používať technológiu „Pay by square“ boli dôvody nepoužívania tohto typu platieb proporčne veľmi podobné dátam pre celú vzorku.</w:t>
      </w:r>
    </w:p>
    <w:p w:rsidR="00000000" w:rsidDel="00000000" w:rsidP="00000000" w:rsidRDefault="00000000" w:rsidRPr="00000000" w14:paraId="00000017">
      <w:pPr>
        <w:rPr/>
      </w:pPr>
      <w:r w:rsidDel="00000000" w:rsidR="00000000" w:rsidRPr="00000000">
        <w:rPr>
          <w:rtl w:val="0"/>
        </w:rPr>
        <w:t xml:space="preserve">Pri platbe pomocou VIAMO sme už skúmali len respondentov, ktorí tento typ platby neplánujú vôbec používať (ani v prípade potreby). Ak by sme využili predošlý model, išlo by o skoro všetky odpovede (72% odpovedí). Rozdielne hodnoty boli najmä v bezpečnostných obavách (zo 17% na 31%) a v technologickej náročnosti používania (zo 14% na 21%).</w:t>
      </w:r>
    </w:p>
    <w:p w:rsidR="00000000" w:rsidDel="00000000" w:rsidP="00000000" w:rsidRDefault="00000000" w:rsidRPr="00000000" w14:paraId="00000018">
      <w:pPr>
        <w:rPr/>
      </w:pPr>
      <w:r w:rsidDel="00000000" w:rsidR="00000000" w:rsidRPr="00000000">
        <w:rPr>
          <w:rtl w:val="0"/>
        </w:rPr>
        <w:t xml:space="preserve">Pre platby pomocou Payme sme postupovali rovnako ako pre platby pomocou VIAMO. Dospeli sme k rovnakým pozorovaniam. Rozdiel bol opäť prevažne v obavách o bezpečnosť (z 20% na 33%) a v technologickej náročnosti (zo 16% na 21%).</w:t>
      </w:r>
    </w:p>
    <w:p w:rsidR="00000000" w:rsidDel="00000000" w:rsidP="00000000" w:rsidRDefault="00000000" w:rsidRPr="00000000" w14:paraId="00000019">
      <w:pPr>
        <w:rPr/>
      </w:pPr>
      <w:r w:rsidDel="00000000" w:rsidR="00000000" w:rsidRPr="00000000">
        <w:rPr>
          <w:rtl w:val="0"/>
        </w:rPr>
        <w:t xml:space="preserve">V poslednej otázke, mierenej na jednotlivé spôsoby platieb, sme sa respondentov pýtali, či si myslia, že pre skúmané typy platieb hrozí zvýšené nebezpečenstvo podvodov. Väčšina odpovedí je neurčitá, teda odpovede „skôr áno“ a „skôr nie“.  Aj na ich základe týchto odpovedí sa dá usúdiť, že za najnebezpečnejšie ľudia pokladajú NFC platby (44% „skôr áno“, alebo „áno“). Táto skutočnosť platí aj napriek tomu, že ich najväčšia časť respondentov používa. Podobne pokladá veľká časť respondentov za nebezpečnejšie platby Payme (39%). Túto nedôveru je možné zdôvodniť tým, že ide o veľmi novú technológiu.</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rFonts w:ascii="Calibri" w:cs="Calibri" w:eastAsia="Calibri" w:hAnsi="Calibri"/>
          <w:color w:val="2f5496"/>
          <w:sz w:val="32"/>
          <w:szCs w:val="32"/>
        </w:rPr>
      </w:pPr>
      <w:r w:rsidDel="00000000" w:rsidR="00000000" w:rsidRPr="00000000">
        <w:rPr>
          <w:rFonts w:ascii="Calibri" w:cs="Calibri" w:eastAsia="Calibri" w:hAnsi="Calibri"/>
          <w:color w:val="2f5496"/>
          <w:sz w:val="32"/>
          <w:szCs w:val="32"/>
          <w:rtl w:val="0"/>
        </w:rPr>
        <w:t xml:space="preserve">Otázky o budúcnosti platieb</w:t>
      </w:r>
    </w:p>
    <w:p w:rsidR="00000000" w:rsidDel="00000000" w:rsidP="00000000" w:rsidRDefault="00000000" w:rsidRPr="00000000" w14:paraId="0000001C">
      <w:pPr>
        <w:rPr/>
      </w:pPr>
      <w:r w:rsidDel="00000000" w:rsidR="00000000" w:rsidRPr="00000000">
        <w:rPr>
          <w:rtl w:val="0"/>
        </w:rPr>
        <w:t xml:space="preserve">Respondentom sme položili i zopár otázok týkajúcich sa budúcnosti bezhotovostných platieb v kontraste s budúcnosťou hotovosti.</w:t>
      </w:r>
    </w:p>
    <w:p w:rsidR="00000000" w:rsidDel="00000000" w:rsidP="00000000" w:rsidRDefault="00000000" w:rsidRPr="00000000" w14:paraId="0000001D">
      <w:pPr>
        <w:rPr/>
      </w:pPr>
      <w:r w:rsidDel="00000000" w:rsidR="00000000" w:rsidRPr="00000000">
        <w:rPr>
          <w:rtl w:val="0"/>
        </w:rPr>
        <w:t xml:space="preserve">Na otázku, či platby hotovosťou v budúcnosti zaniknú, nám respondenti dávali veľmi málo polárnych odpovedí, opäť dominovali odpovede „skôr áno“ a „skôr nie“. Odpovede sa prikláňajú skôr k názoru, že platby hotovosťou zaniknú (56% proti 44%).  </w:t>
      </w:r>
    </w:p>
    <w:p w:rsidR="00000000" w:rsidDel="00000000" w:rsidP="00000000" w:rsidRDefault="00000000" w:rsidRPr="00000000" w14:paraId="0000001E">
      <w:pPr>
        <w:rPr/>
      </w:pPr>
      <w:r w:rsidDel="00000000" w:rsidR="00000000" w:rsidRPr="00000000">
        <w:rPr>
          <w:rtl w:val="0"/>
        </w:rPr>
        <w:t xml:space="preserve">Až 75% opýtaných sa domnieva, že úpadok platieb hotovosťou nastane už do 20 rokov, čo je očakávaný výsledok. Zarážajúcou pre nás bola skutočnosť, že zánik hotovosti s určitosťou predpovedá najmä staršia veková kategória (nad 25 rokov) (približne 38%), pričom mladší respondenti to s istotou netvrdí (len približne 15%). Nazdávame sa, že staršia generácia pociťuje úpadok platieb hotovosťou už teraz, a preto predpokladá, že tento trend bude naďalej pokračovať.</w:t>
      </w:r>
    </w:p>
    <w:p w:rsidR="00000000" w:rsidDel="00000000" w:rsidP="00000000" w:rsidRDefault="00000000" w:rsidRPr="00000000" w14:paraId="0000001F">
      <w:pPr>
        <w:rPr/>
      </w:pPr>
      <w:r w:rsidDel="00000000" w:rsidR="00000000" w:rsidRPr="00000000">
        <w:rPr>
          <w:rtl w:val="0"/>
        </w:rPr>
        <w:t xml:space="preserve">Našou poslednou otázkou bolo, či ľudia pokladajú bezhotovostné platby za perspektívne a ak áno, tak ktoré. Očakávane, za najviac perspektívne respondenti zvolili platby pomocou NFC (73 respondentov zo 101), a ako druhé nasledovali platby QR – kódom (58). Prekvapivo, 34 respondentov určilo ako perspektívne i platby cez VIAMO, teda viac ako uviedlo, že ich využíva (20). Platby Payme obdržali len 24 hlasov, čo je opäť pravdepodobne zapríčinené tým, že sú zatiaľ málo známe. Na výber sme respondentom dali aj možnosť, že bezhotovostné platby považujú za perspektívne, ale žiadnu z nami skúmaných. Túto možnosť uviedlo 8 respondentov. Usudzujeme však, že túto odpoveď mohli voliť respondenti, ktorí za perspektívne považujú napríklad klasické platobné karty. Na záver, iba jeden respondent uviedol, že bezhotovostné platby podľa neho nemajú žiadnu budúcnosť.</w:t>
      </w:r>
    </w:p>
    <w:p w:rsidR="00000000" w:rsidDel="00000000" w:rsidP="00000000" w:rsidRDefault="00000000" w:rsidRPr="00000000" w14:paraId="00000020">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sk-SK"/>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lny" w:default="1">
    <w:name w:val="Normal"/>
    <w:qFormat w:val="1"/>
  </w:style>
  <w:style w:type="paragraph" w:styleId="Nadpis1">
    <w:name w:val="heading 1"/>
    <w:basedOn w:val="Normlny"/>
    <w:next w:val="Normlny"/>
    <w:link w:val="Nadpis1Char"/>
    <w:uiPriority w:val="9"/>
    <w:qFormat w:val="1"/>
    <w:rsid w:val="00907016"/>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Nadpis2">
    <w:name w:val="heading 2"/>
    <w:basedOn w:val="Normlny"/>
    <w:next w:val="Normlny"/>
    <w:link w:val="Nadpis2Char"/>
    <w:uiPriority w:val="9"/>
    <w:unhideWhenUsed w:val="1"/>
    <w:qFormat w:val="1"/>
    <w:rsid w:val="00907016"/>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paragraph" w:styleId="Nadpis3">
    <w:name w:val="heading 3"/>
    <w:basedOn w:val="Normlny"/>
    <w:next w:val="Normlny"/>
    <w:link w:val="Nadpis3Char"/>
    <w:uiPriority w:val="9"/>
    <w:unhideWhenUsed w:val="1"/>
    <w:qFormat w:val="1"/>
    <w:rsid w:val="00907016"/>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character" w:styleId="Predvolenpsmoodseku" w:default="1">
    <w:name w:val="Default Paragraph Font"/>
    <w:uiPriority w:val="1"/>
    <w:semiHidden w:val="1"/>
    <w:unhideWhenUsed w:val="1"/>
  </w:style>
  <w:style w:type="table" w:styleId="Normlnatabu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zoznamu" w:default="1">
    <w:name w:val="No List"/>
    <w:uiPriority w:val="99"/>
    <w:semiHidden w:val="1"/>
    <w:unhideWhenUsed w:val="1"/>
  </w:style>
  <w:style w:type="paragraph" w:styleId="Odsekzoznamu">
    <w:name w:val="List Paragraph"/>
    <w:basedOn w:val="Normlny"/>
    <w:uiPriority w:val="34"/>
    <w:qFormat w:val="1"/>
    <w:rsid w:val="00930BBC"/>
    <w:pPr>
      <w:ind w:left="720"/>
      <w:contextualSpacing w:val="1"/>
    </w:pPr>
  </w:style>
  <w:style w:type="character" w:styleId="Nadpis2Char" w:customStyle="1">
    <w:name w:val="Nadpis 2 Char"/>
    <w:basedOn w:val="Predvolenpsmoodseku"/>
    <w:link w:val="Nadpis2"/>
    <w:uiPriority w:val="9"/>
    <w:rsid w:val="00907016"/>
    <w:rPr>
      <w:rFonts w:asciiTheme="majorHAnsi" w:cstheme="majorBidi" w:eastAsiaTheme="majorEastAsia" w:hAnsiTheme="majorHAnsi"/>
      <w:color w:val="2f5496" w:themeColor="accent1" w:themeShade="0000BF"/>
      <w:sz w:val="26"/>
      <w:szCs w:val="26"/>
    </w:rPr>
  </w:style>
  <w:style w:type="character" w:styleId="Nadpis3Char" w:customStyle="1">
    <w:name w:val="Nadpis 3 Char"/>
    <w:basedOn w:val="Predvolenpsmoodseku"/>
    <w:link w:val="Nadpis3"/>
    <w:uiPriority w:val="9"/>
    <w:rsid w:val="00907016"/>
    <w:rPr>
      <w:rFonts w:asciiTheme="majorHAnsi" w:cstheme="majorBidi" w:eastAsiaTheme="majorEastAsia" w:hAnsiTheme="majorHAnsi"/>
      <w:color w:val="1f3763" w:themeColor="accent1" w:themeShade="00007F"/>
      <w:sz w:val="24"/>
      <w:szCs w:val="24"/>
    </w:rPr>
  </w:style>
  <w:style w:type="paragraph" w:styleId="Bezriadkovania">
    <w:name w:val="No Spacing"/>
    <w:uiPriority w:val="1"/>
    <w:qFormat w:val="1"/>
    <w:rsid w:val="00907016"/>
    <w:pPr>
      <w:spacing w:after="0" w:line="240" w:lineRule="auto"/>
    </w:pPr>
  </w:style>
  <w:style w:type="character" w:styleId="Nadpis1Char" w:customStyle="1">
    <w:name w:val="Nadpis 1 Char"/>
    <w:basedOn w:val="Predvolenpsmoodseku"/>
    <w:link w:val="Nadpis1"/>
    <w:uiPriority w:val="9"/>
    <w:rsid w:val="00907016"/>
    <w:rPr>
      <w:rFonts w:asciiTheme="majorHAnsi" w:cstheme="majorBidi" w:eastAsiaTheme="majorEastAsia" w:hAnsiTheme="majorHAnsi"/>
      <w:color w:val="2f5496" w:themeColor="accent1" w:themeShade="0000BF"/>
      <w:sz w:val="32"/>
      <w:szCs w:val="3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Mud9B7AI+GSkMM/HyIO4sU/wwQ==">AMUW2mUpBcVbIWVy5+GBC7AhfIFf5Mwx7BGPG1HMJVQMEgmydO7RGUxsV+WpH8wRycIbR+q2by9GRknCXZ5r77aT7ypEDPOGKxYNlNU6DuFANOKKjO/flKI=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2021-05-17T13:17:00Z</dcterms:created>
  <dc:creator>Alojz Stúpal</dc:creator>
</cp:coreProperties>
</file>